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E1F09" w14:textId="77777777" w:rsidR="0034450A" w:rsidRPr="0034450A" w:rsidRDefault="0034450A" w:rsidP="0034450A">
      <w:pPr>
        <w:rPr>
          <w:b/>
          <w:bCs/>
        </w:rPr>
      </w:pPr>
      <w:r w:rsidRPr="0034450A">
        <w:rPr>
          <w:b/>
          <w:bCs/>
        </w:rPr>
        <w:t xml:space="preserve">Controladores </w:t>
      </w:r>
      <w:proofErr w:type="spellStart"/>
      <w:r w:rsidRPr="0034450A">
        <w:rPr>
          <w:b/>
          <w:bCs/>
        </w:rPr>
        <w:t>Desigo</w:t>
      </w:r>
      <w:proofErr w:type="spellEnd"/>
      <w:r w:rsidRPr="0034450A">
        <w:rPr>
          <w:b/>
          <w:bCs/>
        </w:rPr>
        <w:t xml:space="preserve"> DXR</w:t>
      </w:r>
    </w:p>
    <w:p w14:paraId="35E7E855" w14:textId="09396F12" w:rsidR="00282D9E" w:rsidRDefault="0034450A" w:rsidP="0034450A">
      <w:r>
        <w:t xml:space="preserve">La familia de controladores </w:t>
      </w:r>
      <w:proofErr w:type="spellStart"/>
      <w:r>
        <w:t>Desigo</w:t>
      </w:r>
      <w:proofErr w:type="spellEnd"/>
      <w:r>
        <w:t xml:space="preserve"> DXR y la familia de unidades de ambiente QMX brindan una oferta innovadora y competitiva para el control de salas HVAC. Fuera de la caja, cada controlador DXR contiene aplicaciones estándar precargadas y configurables para admitir aplicaciones de volumen de aire variable, volumen constante, fan </w:t>
      </w:r>
      <w:proofErr w:type="spellStart"/>
      <w:r>
        <w:t>coil</w:t>
      </w:r>
      <w:proofErr w:type="spellEnd"/>
      <w:r>
        <w:t xml:space="preserve"> y ventilación unitaria, así como automatización total de la habitación (TRA). TRA es un diferenciador competitivo al ofrecer una solución única para controlar HVAC, luces y cortinas con un solo dispositivo de automatización, el controlador </w:t>
      </w:r>
      <w:proofErr w:type="spellStart"/>
      <w:r>
        <w:t>Desigo</w:t>
      </w:r>
      <w:proofErr w:type="spellEnd"/>
      <w:r>
        <w:t xml:space="preserve"> DXR.</w:t>
      </w:r>
    </w:p>
    <w:p w14:paraId="032F26A0" w14:textId="77777777" w:rsidR="0034450A" w:rsidRPr="0034450A" w:rsidRDefault="0034450A" w:rsidP="0034450A">
      <w:pPr>
        <w:shd w:val="clear" w:color="auto" w:fill="FFFFFF"/>
        <w:spacing w:before="300" w:after="300" w:line="540" w:lineRule="atLeast"/>
        <w:outlineLvl w:val="1"/>
        <w:rPr>
          <w:rFonts w:ascii="SiemensSans" w:eastAsia="Times New Roman" w:hAnsi="SiemensSans" w:cs="Times New Roman"/>
          <w:color w:val="000028"/>
          <w:kern w:val="0"/>
          <w:sz w:val="45"/>
          <w:szCs w:val="45"/>
          <w:lang w:eastAsia="es-MX"/>
          <w14:ligatures w14:val="none"/>
        </w:rPr>
      </w:pPr>
      <w:r w:rsidRPr="0034450A">
        <w:rPr>
          <w:rFonts w:ascii="SiemensSans" w:eastAsia="Times New Roman" w:hAnsi="SiemensSans" w:cs="Times New Roman"/>
          <w:color w:val="000028"/>
          <w:kern w:val="0"/>
          <w:sz w:val="45"/>
          <w:szCs w:val="45"/>
          <w:lang w:eastAsia="es-MX"/>
          <w14:ligatures w14:val="none"/>
        </w:rPr>
        <w:t>Características y Beneficios</w:t>
      </w:r>
    </w:p>
    <w:p w14:paraId="42E96D37" w14:textId="77777777" w:rsidR="0034450A" w:rsidRPr="0034450A" w:rsidRDefault="0034450A" w:rsidP="0034450A">
      <w:pPr>
        <w:shd w:val="clear" w:color="auto" w:fill="FFFFFF"/>
        <w:spacing w:line="240" w:lineRule="auto"/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</w:pPr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 xml:space="preserve">• Comunicación </w:t>
      </w:r>
      <w:proofErr w:type="spellStart"/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BACnet</w:t>
      </w:r>
      <w:proofErr w:type="spellEnd"/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 xml:space="preserve"> IP, </w:t>
      </w:r>
      <w:proofErr w:type="spellStart"/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BACnet</w:t>
      </w:r>
      <w:proofErr w:type="spellEnd"/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 xml:space="preserve"> </w:t>
      </w:r>
      <w:proofErr w:type="spellStart"/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Secure</w:t>
      </w:r>
      <w:proofErr w:type="spellEnd"/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 xml:space="preserve"> </w:t>
      </w:r>
      <w:proofErr w:type="spellStart"/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Connect</w:t>
      </w:r>
      <w:proofErr w:type="spellEnd"/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 xml:space="preserve"> y </w:t>
      </w:r>
      <w:proofErr w:type="spellStart"/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BACnet</w:t>
      </w:r>
      <w:proofErr w:type="spellEnd"/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 xml:space="preserve"> MSTP</w:t>
      </w:r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br/>
        <w:t xml:space="preserve">• Puertos Ethernet duales para instalaciones en cadena tipo margarita de </w:t>
      </w:r>
      <w:proofErr w:type="spellStart"/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BACnet</w:t>
      </w:r>
      <w:proofErr w:type="spellEnd"/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 xml:space="preserve"> IP con costos optimizados</w:t>
      </w:r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br/>
        <w:t>• Aplicaciones flexibles y altamente configurables para satisfacer los requisitos del cliente</w:t>
      </w:r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br/>
        <w:t>• Totalmente programable para cumplir con secuencias únicas de operaciones</w:t>
      </w:r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br/>
        <w:t xml:space="preserve">• Las unidades de habitación QMX cuentan con Green </w:t>
      </w:r>
      <w:proofErr w:type="spellStart"/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Leaf</w:t>
      </w:r>
      <w:proofErr w:type="spellEnd"/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 xml:space="preserve"> funcionalidad para regresar con un solo toque a configuraciones de eficiencia energética</w:t>
      </w:r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br/>
        <w:t>• Modos operativos múltiples y flexibles (</w:t>
      </w:r>
      <w:proofErr w:type="spellStart"/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pre-comodidad</w:t>
      </w:r>
      <w:proofErr w:type="spellEnd"/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, comodidad, economía y protección)</w:t>
      </w:r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br/>
        <w:t>• Aplicaciones que cumplen con las últimas pautas, estándares y códigos de ASHRAE</w:t>
      </w:r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br/>
        <w:t>• Cumple con el Título 24 de California</w:t>
      </w:r>
    </w:p>
    <w:p w14:paraId="2958A118" w14:textId="77777777" w:rsidR="0034450A" w:rsidRPr="0034450A" w:rsidRDefault="0034450A" w:rsidP="0034450A">
      <w:pPr>
        <w:shd w:val="clear" w:color="auto" w:fill="FFFFFF"/>
        <w:spacing w:before="300" w:after="300" w:line="540" w:lineRule="atLeast"/>
        <w:outlineLvl w:val="1"/>
        <w:rPr>
          <w:rFonts w:ascii="SiemensSans" w:eastAsia="Times New Roman" w:hAnsi="SiemensSans" w:cs="Times New Roman"/>
          <w:color w:val="000028"/>
          <w:kern w:val="0"/>
          <w:sz w:val="45"/>
          <w:szCs w:val="45"/>
          <w:lang w:eastAsia="es-MX"/>
          <w14:ligatures w14:val="none"/>
        </w:rPr>
      </w:pPr>
      <w:r w:rsidRPr="0034450A">
        <w:rPr>
          <w:rFonts w:ascii="SiemensSans" w:eastAsia="Times New Roman" w:hAnsi="SiemensSans" w:cs="Times New Roman"/>
          <w:color w:val="000028"/>
          <w:kern w:val="0"/>
          <w:sz w:val="45"/>
          <w:szCs w:val="45"/>
          <w:lang w:eastAsia="es-MX"/>
          <w14:ligatures w14:val="none"/>
        </w:rPr>
        <w:t>Aplicaciones</w:t>
      </w:r>
    </w:p>
    <w:p w14:paraId="4828D6C2" w14:textId="77777777" w:rsidR="0034450A" w:rsidRPr="0034450A" w:rsidRDefault="0034450A" w:rsidP="0034450A">
      <w:pPr>
        <w:shd w:val="clear" w:color="auto" w:fill="FFFFFF"/>
        <w:spacing w:line="240" w:lineRule="auto"/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</w:pPr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• Bomba de calor </w:t>
      </w:r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br/>
        <w:t>• Volumen de aire variable </w:t>
      </w:r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br/>
        <w:t>• Cajas accionadas por ventilador </w:t>
      </w:r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br/>
        <w:t xml:space="preserve">• Fan </w:t>
      </w:r>
      <w:proofErr w:type="spellStart"/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Coil</w:t>
      </w:r>
      <w:proofErr w:type="spellEnd"/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 </w:t>
      </w:r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br/>
        <w:t>• Volumen constante </w:t>
      </w:r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br/>
        <w:t>• Unidades de ventilación </w:t>
      </w:r>
      <w:r w:rsidRPr="0034450A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br/>
        <w:t>• Viga fría</w:t>
      </w:r>
    </w:p>
    <w:p w14:paraId="560CB59C" w14:textId="77777777" w:rsidR="0034450A" w:rsidRDefault="0034450A" w:rsidP="0034450A"/>
    <w:p w14:paraId="04F894EF" w14:textId="77777777" w:rsidR="0034450A" w:rsidRDefault="0034450A" w:rsidP="0034450A">
      <w:pPr>
        <w:pStyle w:val="Ttulo3"/>
        <w:shd w:val="clear" w:color="auto" w:fill="F3F3F0"/>
        <w:spacing w:before="300" w:after="150"/>
        <w:rPr>
          <w:rFonts w:ascii="SiemensSans" w:hAnsi="SiemensSans"/>
          <w:color w:val="000028"/>
          <w:sz w:val="36"/>
          <w:szCs w:val="36"/>
        </w:rPr>
      </w:pPr>
      <w:proofErr w:type="spellStart"/>
      <w:r>
        <w:rPr>
          <w:rFonts w:ascii="SiemensSans" w:hAnsi="SiemensSans"/>
          <w:b/>
          <w:bCs/>
          <w:color w:val="000028"/>
          <w:sz w:val="36"/>
          <w:szCs w:val="36"/>
        </w:rPr>
        <w:lastRenderedPageBreak/>
        <w:t>Desigo</w:t>
      </w:r>
      <w:proofErr w:type="spellEnd"/>
      <w:r>
        <w:rPr>
          <w:rFonts w:ascii="SiemensSans" w:hAnsi="SiemensSans"/>
          <w:b/>
          <w:bCs/>
          <w:color w:val="000028"/>
          <w:sz w:val="36"/>
          <w:szCs w:val="36"/>
        </w:rPr>
        <w:t xml:space="preserve"> DXR2.E ahora es compatible con </w:t>
      </w:r>
      <w:proofErr w:type="spellStart"/>
      <w:r>
        <w:rPr>
          <w:rFonts w:ascii="SiemensSans" w:hAnsi="SiemensSans"/>
          <w:b/>
          <w:bCs/>
          <w:color w:val="000028"/>
          <w:sz w:val="36"/>
          <w:szCs w:val="36"/>
        </w:rPr>
        <w:t>BACnet</w:t>
      </w:r>
      <w:proofErr w:type="spellEnd"/>
      <w:r>
        <w:rPr>
          <w:rFonts w:ascii="SiemensSans" w:hAnsi="SiemensSans"/>
          <w:b/>
          <w:bCs/>
          <w:color w:val="000028"/>
          <w:sz w:val="36"/>
          <w:szCs w:val="36"/>
        </w:rPr>
        <w:t xml:space="preserve"> </w:t>
      </w:r>
      <w:proofErr w:type="spellStart"/>
      <w:r>
        <w:rPr>
          <w:rFonts w:ascii="SiemensSans" w:hAnsi="SiemensSans"/>
          <w:b/>
          <w:bCs/>
          <w:color w:val="000028"/>
          <w:sz w:val="36"/>
          <w:szCs w:val="36"/>
        </w:rPr>
        <w:t>Secure</w:t>
      </w:r>
      <w:proofErr w:type="spellEnd"/>
      <w:r>
        <w:rPr>
          <w:rFonts w:ascii="SiemensSans" w:hAnsi="SiemensSans"/>
          <w:b/>
          <w:bCs/>
          <w:color w:val="000028"/>
          <w:sz w:val="36"/>
          <w:szCs w:val="36"/>
        </w:rPr>
        <w:t xml:space="preserve"> </w:t>
      </w:r>
      <w:proofErr w:type="spellStart"/>
      <w:r>
        <w:rPr>
          <w:rFonts w:ascii="SiemensSans" w:hAnsi="SiemensSans"/>
          <w:b/>
          <w:bCs/>
          <w:color w:val="000028"/>
          <w:sz w:val="36"/>
          <w:szCs w:val="36"/>
        </w:rPr>
        <w:t>Connect</w:t>
      </w:r>
      <w:proofErr w:type="spellEnd"/>
    </w:p>
    <w:p w14:paraId="4F764AEC" w14:textId="77777777" w:rsidR="0034450A" w:rsidRDefault="0034450A" w:rsidP="0034450A">
      <w:pPr>
        <w:pStyle w:val="Ttulo5"/>
        <w:shd w:val="clear" w:color="auto" w:fill="F3F3F0"/>
        <w:spacing w:before="150" w:after="150"/>
        <w:rPr>
          <w:rFonts w:ascii="SiemensSans" w:hAnsi="SiemensSans"/>
          <w:b/>
          <w:bCs/>
          <w:color w:val="000028"/>
          <w:sz w:val="30"/>
          <w:szCs w:val="30"/>
        </w:rPr>
      </w:pPr>
      <w:r>
        <w:rPr>
          <w:rFonts w:ascii="SiemensSans" w:hAnsi="SiemensSans"/>
          <w:color w:val="000028"/>
          <w:sz w:val="30"/>
          <w:szCs w:val="30"/>
        </w:rPr>
        <w:t xml:space="preserve">El nuevo firmware DXR está disponible para permitir que las versiones </w:t>
      </w:r>
      <w:proofErr w:type="spellStart"/>
      <w:r>
        <w:rPr>
          <w:rFonts w:ascii="SiemensSans" w:hAnsi="SiemensSans"/>
          <w:color w:val="000028"/>
          <w:sz w:val="30"/>
          <w:szCs w:val="30"/>
        </w:rPr>
        <w:t>BACnet</w:t>
      </w:r>
      <w:proofErr w:type="spellEnd"/>
      <w:r>
        <w:rPr>
          <w:rFonts w:ascii="SiemensSans" w:hAnsi="SiemensSans"/>
          <w:color w:val="000028"/>
          <w:sz w:val="30"/>
          <w:szCs w:val="30"/>
        </w:rPr>
        <w:t xml:space="preserve"> IP del portafolio DXR admitan </w:t>
      </w:r>
      <w:proofErr w:type="spellStart"/>
      <w:r>
        <w:rPr>
          <w:rFonts w:ascii="SiemensSans" w:hAnsi="SiemensSans"/>
          <w:color w:val="000028"/>
          <w:sz w:val="30"/>
          <w:szCs w:val="30"/>
        </w:rPr>
        <w:t>BACnet</w:t>
      </w:r>
      <w:proofErr w:type="spellEnd"/>
      <w:r>
        <w:rPr>
          <w:rFonts w:ascii="SiemensSans" w:hAnsi="SiemensSans"/>
          <w:color w:val="000028"/>
          <w:sz w:val="30"/>
          <w:szCs w:val="30"/>
        </w:rPr>
        <w:t xml:space="preserve"> </w:t>
      </w:r>
      <w:proofErr w:type="spellStart"/>
      <w:r>
        <w:rPr>
          <w:rFonts w:ascii="SiemensSans" w:hAnsi="SiemensSans"/>
          <w:color w:val="000028"/>
          <w:sz w:val="30"/>
          <w:szCs w:val="30"/>
        </w:rPr>
        <w:t>Secure</w:t>
      </w:r>
      <w:proofErr w:type="spellEnd"/>
      <w:r>
        <w:rPr>
          <w:rFonts w:ascii="SiemensSans" w:hAnsi="SiemensSans"/>
          <w:color w:val="000028"/>
          <w:sz w:val="30"/>
          <w:szCs w:val="30"/>
        </w:rPr>
        <w:t xml:space="preserve"> </w:t>
      </w:r>
      <w:proofErr w:type="spellStart"/>
      <w:r>
        <w:rPr>
          <w:rFonts w:ascii="SiemensSans" w:hAnsi="SiemensSans"/>
          <w:color w:val="000028"/>
          <w:sz w:val="30"/>
          <w:szCs w:val="30"/>
        </w:rPr>
        <w:t>Connect</w:t>
      </w:r>
      <w:proofErr w:type="spellEnd"/>
      <w:r>
        <w:rPr>
          <w:rFonts w:ascii="SiemensSans" w:hAnsi="SiemensSans"/>
          <w:color w:val="000028"/>
          <w:sz w:val="30"/>
          <w:szCs w:val="30"/>
        </w:rPr>
        <w:t xml:space="preserve"> (</w:t>
      </w:r>
      <w:proofErr w:type="spellStart"/>
      <w:r>
        <w:rPr>
          <w:rFonts w:ascii="SiemensSans" w:hAnsi="SiemensSans"/>
          <w:color w:val="000028"/>
          <w:sz w:val="30"/>
          <w:szCs w:val="30"/>
        </w:rPr>
        <w:t>BACnet</w:t>
      </w:r>
      <w:proofErr w:type="spellEnd"/>
      <w:r>
        <w:rPr>
          <w:rFonts w:ascii="SiemensSans" w:hAnsi="SiemensSans"/>
          <w:color w:val="000028"/>
          <w:sz w:val="30"/>
          <w:szCs w:val="30"/>
        </w:rPr>
        <w:t>/SC).</w:t>
      </w:r>
    </w:p>
    <w:p w14:paraId="08251F1F" w14:textId="77777777" w:rsidR="0034450A" w:rsidRDefault="0034450A" w:rsidP="0034450A">
      <w:pPr>
        <w:shd w:val="clear" w:color="auto" w:fill="F3F3F0"/>
        <w:rPr>
          <w:rFonts w:ascii="SiemensSans" w:hAnsi="SiemensSans"/>
          <w:color w:val="000028"/>
          <w:sz w:val="24"/>
          <w:szCs w:val="24"/>
        </w:rPr>
      </w:pPr>
      <w:r>
        <w:rPr>
          <w:rFonts w:ascii="SiemensSans" w:hAnsi="SiemensSans"/>
          <w:color w:val="000028"/>
        </w:rPr>
        <w:t xml:space="preserve">Esta versión permite un sistema Siemens </w:t>
      </w:r>
      <w:proofErr w:type="spellStart"/>
      <w:r>
        <w:rPr>
          <w:rFonts w:ascii="SiemensSans" w:hAnsi="SiemensSans"/>
          <w:color w:val="000028"/>
        </w:rPr>
        <w:t>BACnet</w:t>
      </w:r>
      <w:proofErr w:type="spellEnd"/>
      <w:r>
        <w:rPr>
          <w:rFonts w:ascii="SiemensSans" w:hAnsi="SiemensSans"/>
          <w:color w:val="000028"/>
        </w:rPr>
        <w:t xml:space="preserve"> </w:t>
      </w:r>
      <w:proofErr w:type="spellStart"/>
      <w:r>
        <w:rPr>
          <w:rFonts w:ascii="SiemensSans" w:hAnsi="SiemensSans"/>
          <w:color w:val="000028"/>
        </w:rPr>
        <w:t>Secure</w:t>
      </w:r>
      <w:proofErr w:type="spellEnd"/>
      <w:r>
        <w:rPr>
          <w:rFonts w:ascii="SiemensSans" w:hAnsi="SiemensSans"/>
          <w:color w:val="000028"/>
        </w:rPr>
        <w:t xml:space="preserve"> </w:t>
      </w:r>
      <w:proofErr w:type="spellStart"/>
      <w:r>
        <w:rPr>
          <w:rFonts w:ascii="SiemensSans" w:hAnsi="SiemensSans"/>
          <w:color w:val="000028"/>
        </w:rPr>
        <w:t>Connect</w:t>
      </w:r>
      <w:proofErr w:type="spellEnd"/>
      <w:r>
        <w:rPr>
          <w:rFonts w:ascii="SiemensSans" w:hAnsi="SiemensSans"/>
          <w:color w:val="000028"/>
        </w:rPr>
        <w:t xml:space="preserve"> completo de arriba a abajo que incluye nuestra estación de trabajo </w:t>
      </w:r>
      <w:proofErr w:type="spellStart"/>
      <w:r>
        <w:rPr>
          <w:rFonts w:ascii="SiemensSans" w:hAnsi="SiemensSans"/>
          <w:color w:val="000028"/>
        </w:rPr>
        <w:t>Desigo</w:t>
      </w:r>
      <w:proofErr w:type="spellEnd"/>
      <w:r>
        <w:rPr>
          <w:rFonts w:ascii="SiemensSans" w:hAnsi="SiemensSans"/>
          <w:color w:val="000028"/>
        </w:rPr>
        <w:t xml:space="preserve"> CC y nuestros controladores principales. Descargue la versión de ventas de </w:t>
      </w:r>
      <w:proofErr w:type="spellStart"/>
      <w:r>
        <w:rPr>
          <w:rFonts w:ascii="SiemensSans" w:hAnsi="SiemensSans"/>
          <w:color w:val="000028"/>
        </w:rPr>
        <w:t>Desigo</w:t>
      </w:r>
      <w:proofErr w:type="spellEnd"/>
      <w:r>
        <w:rPr>
          <w:rFonts w:ascii="SiemensSans" w:hAnsi="SiemensSans"/>
          <w:color w:val="000028"/>
        </w:rPr>
        <w:t xml:space="preserve"> DXR </w:t>
      </w:r>
      <w:proofErr w:type="spellStart"/>
      <w:r>
        <w:rPr>
          <w:rFonts w:ascii="SiemensSans" w:hAnsi="SiemensSans"/>
          <w:color w:val="000028"/>
        </w:rPr>
        <w:t>BACnet</w:t>
      </w:r>
      <w:proofErr w:type="spellEnd"/>
      <w:r>
        <w:rPr>
          <w:rFonts w:ascii="SiemensSans" w:hAnsi="SiemensSans"/>
          <w:color w:val="000028"/>
        </w:rPr>
        <w:t xml:space="preserve"> </w:t>
      </w:r>
      <w:proofErr w:type="spellStart"/>
      <w:r>
        <w:rPr>
          <w:rFonts w:ascii="SiemensSans" w:hAnsi="SiemensSans"/>
          <w:color w:val="000028"/>
        </w:rPr>
        <w:t>Secure</w:t>
      </w:r>
      <w:proofErr w:type="spellEnd"/>
      <w:r>
        <w:rPr>
          <w:rFonts w:ascii="SiemensSans" w:hAnsi="SiemensSans"/>
          <w:color w:val="000028"/>
        </w:rPr>
        <w:t xml:space="preserve"> </w:t>
      </w:r>
      <w:proofErr w:type="spellStart"/>
      <w:r>
        <w:rPr>
          <w:rFonts w:ascii="SiemensSans" w:hAnsi="SiemensSans"/>
          <w:color w:val="000028"/>
        </w:rPr>
        <w:t>Connect</w:t>
      </w:r>
      <w:proofErr w:type="spellEnd"/>
      <w:r>
        <w:rPr>
          <w:rFonts w:ascii="SiemensSans" w:hAnsi="SiemensSans"/>
          <w:color w:val="000028"/>
        </w:rPr>
        <w:t xml:space="preserve"> a continuación para obtener más información. Tenga en cuenta que el DXR2.E17 utilizado en nuestra cartera de entornos críticos no es compatible con </w:t>
      </w:r>
      <w:proofErr w:type="spellStart"/>
      <w:r>
        <w:rPr>
          <w:rFonts w:ascii="SiemensSans" w:hAnsi="SiemensSans"/>
          <w:color w:val="000028"/>
        </w:rPr>
        <w:t>BACnet</w:t>
      </w:r>
      <w:proofErr w:type="spellEnd"/>
      <w:r>
        <w:rPr>
          <w:rFonts w:ascii="SiemensSans" w:hAnsi="SiemensSans"/>
          <w:color w:val="000028"/>
        </w:rPr>
        <w:t>/SC en este momento</w:t>
      </w:r>
    </w:p>
    <w:p w14:paraId="287B4D58" w14:textId="77777777" w:rsidR="0034450A" w:rsidRDefault="0034450A" w:rsidP="0034450A"/>
    <w:sectPr w:rsidR="003445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emensSans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1BA"/>
    <w:rsid w:val="00282D9E"/>
    <w:rsid w:val="0034450A"/>
    <w:rsid w:val="00704819"/>
    <w:rsid w:val="008E2A43"/>
    <w:rsid w:val="00C8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0F729"/>
  <w15:chartTrackingRefBased/>
  <w15:docId w15:val="{8DE92C00-96F1-4136-A5C1-E073E83D2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3445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MX"/>
      <w14:ligatures w14:val="non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445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4450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34450A"/>
    <w:rPr>
      <w:rFonts w:ascii="Times New Roman" w:eastAsia="Times New Roman" w:hAnsi="Times New Roman" w:cs="Times New Roman"/>
      <w:b/>
      <w:bCs/>
      <w:kern w:val="0"/>
      <w:sz w:val="36"/>
      <w:szCs w:val="36"/>
      <w:lang w:eastAsia="es-MX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4450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4450A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8917">
          <w:marLeft w:val="-45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078642">
          <w:marLeft w:val="-45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744100">
              <w:marLeft w:val="0"/>
              <w:marRight w:val="0"/>
              <w:marTop w:val="15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6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5423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77192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16963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675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9476">
          <w:marLeft w:val="-45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9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4399">
          <w:marLeft w:val="-45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67112">
              <w:marLeft w:val="0"/>
              <w:marRight w:val="0"/>
              <w:marTop w:val="15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92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36906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08703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20411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6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6827">
          <w:marLeft w:val="-45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602661">
          <w:marLeft w:val="-45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342112">
              <w:marLeft w:val="0"/>
              <w:marRight w:val="0"/>
              <w:marTop w:val="15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32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2913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06352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89371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326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2024-02-01T19:13:00Z</dcterms:created>
  <dcterms:modified xsi:type="dcterms:W3CDTF">2024-02-01T19:18:00Z</dcterms:modified>
</cp:coreProperties>
</file>